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F1" w:rsidRDefault="008F720F" w:rsidP="008F720F">
      <w:pPr>
        <w:spacing w:after="0" w:line="240" w:lineRule="auto"/>
        <w:jc w:val="center"/>
        <w:rPr>
          <w:b/>
        </w:rPr>
      </w:pPr>
      <w:r w:rsidRPr="008F720F">
        <w:rPr>
          <w:b/>
        </w:rPr>
        <w:t>National Space Grant Alliance</w:t>
      </w:r>
      <w:r>
        <w:rPr>
          <w:b/>
        </w:rPr>
        <w:t xml:space="preserve"> General Body</w:t>
      </w:r>
      <w:r w:rsidR="00743D54" w:rsidRPr="008F720F">
        <w:rPr>
          <w:b/>
        </w:rPr>
        <w:t xml:space="preserve"> Meeting</w:t>
      </w:r>
    </w:p>
    <w:p w:rsidR="008F720F" w:rsidRDefault="008F720F" w:rsidP="008F720F">
      <w:pPr>
        <w:spacing w:after="0" w:line="240" w:lineRule="auto"/>
        <w:jc w:val="center"/>
        <w:rPr>
          <w:b/>
        </w:rPr>
      </w:pPr>
      <w:r>
        <w:rPr>
          <w:b/>
        </w:rPr>
        <w:t>Washington, DC</w:t>
      </w:r>
    </w:p>
    <w:p w:rsidR="008F720F" w:rsidRPr="008F720F" w:rsidRDefault="008F720F" w:rsidP="008F720F">
      <w:pPr>
        <w:spacing w:after="0" w:line="240" w:lineRule="auto"/>
        <w:jc w:val="center"/>
        <w:rPr>
          <w:b/>
        </w:rPr>
      </w:pPr>
      <w:r>
        <w:rPr>
          <w:b/>
        </w:rPr>
        <w:t>March 2, 2011</w:t>
      </w:r>
    </w:p>
    <w:p w:rsidR="008A26EF" w:rsidRDefault="008A26EF"/>
    <w:p w:rsidR="008A26EF" w:rsidRDefault="008F720F">
      <w:r>
        <w:t xml:space="preserve">The meeting was chaired </w:t>
      </w:r>
      <w:r w:rsidR="00FC3292">
        <w:t>by</w:t>
      </w:r>
      <w:r>
        <w:t xml:space="preserve"> the Vice-Chair, </w:t>
      </w:r>
      <w:r w:rsidR="008A26EF">
        <w:t xml:space="preserve">John Gregory on behalf of </w:t>
      </w:r>
      <w:r w:rsidR="00FC3292">
        <w:t>the Cha</w:t>
      </w:r>
      <w:r>
        <w:t xml:space="preserve">ir, </w:t>
      </w:r>
      <w:r w:rsidR="008A26EF">
        <w:t>Chris Brown</w:t>
      </w:r>
      <w:r>
        <w:t xml:space="preserve"> who could not attend the meeting</w:t>
      </w:r>
    </w:p>
    <w:p w:rsidR="008F720F" w:rsidRPr="008F720F" w:rsidRDefault="008F720F" w:rsidP="008F720F">
      <w:pPr>
        <w:rPr>
          <w:b/>
        </w:rPr>
      </w:pPr>
      <w:r>
        <w:rPr>
          <w:b/>
        </w:rPr>
        <w:t xml:space="preserve">National </w:t>
      </w:r>
      <w:r w:rsidRPr="008F720F">
        <w:rPr>
          <w:b/>
        </w:rPr>
        <w:t>Space Grant Alliance General Body Meeting Agenda</w:t>
      </w:r>
    </w:p>
    <w:p w:rsidR="008F720F" w:rsidRPr="008F720F" w:rsidRDefault="008F720F" w:rsidP="008F720F">
      <w:pPr>
        <w:pStyle w:val="ListParagraph"/>
        <w:numPr>
          <w:ilvl w:val="0"/>
          <w:numId w:val="1"/>
        </w:numPr>
      </w:pPr>
      <w:r>
        <w:t>Chair’s Report</w:t>
      </w:r>
    </w:p>
    <w:p w:rsidR="008F720F" w:rsidRPr="008F720F" w:rsidRDefault="008F720F" w:rsidP="008F720F">
      <w:pPr>
        <w:pStyle w:val="ListParagraph"/>
        <w:numPr>
          <w:ilvl w:val="0"/>
          <w:numId w:val="1"/>
        </w:numPr>
      </w:pPr>
      <w:r w:rsidRPr="008F720F">
        <w:t>Approval o</w:t>
      </w:r>
      <w:r>
        <w:t>f D.C. Alliance Meeting Minutes</w:t>
      </w:r>
    </w:p>
    <w:p w:rsidR="008F720F" w:rsidRPr="008F720F" w:rsidRDefault="008F720F" w:rsidP="008F720F">
      <w:pPr>
        <w:pStyle w:val="ListParagraph"/>
        <w:numPr>
          <w:ilvl w:val="0"/>
          <w:numId w:val="1"/>
        </w:numPr>
      </w:pPr>
      <w:r w:rsidRPr="008F720F">
        <w:t xml:space="preserve">Update from Van </w:t>
      </w:r>
      <w:proofErr w:type="spellStart"/>
      <w:r w:rsidRPr="008F720F">
        <w:t>Scoyoc</w:t>
      </w:r>
      <w:proofErr w:type="spellEnd"/>
      <w:r w:rsidRPr="008F720F">
        <w:t xml:space="preserve"> Associat</w:t>
      </w:r>
      <w:r>
        <w:t>es and The Implementation Group</w:t>
      </w:r>
    </w:p>
    <w:p w:rsidR="008F720F" w:rsidRPr="008F720F" w:rsidRDefault="008F720F" w:rsidP="008F720F">
      <w:pPr>
        <w:pStyle w:val="ListParagraph"/>
        <w:numPr>
          <w:ilvl w:val="0"/>
          <w:numId w:val="1"/>
        </w:numPr>
      </w:pPr>
      <w:r>
        <w:t>Treasurer’s Report</w:t>
      </w:r>
    </w:p>
    <w:p w:rsidR="008F720F" w:rsidRPr="008F720F" w:rsidRDefault="008F720F" w:rsidP="008F720F">
      <w:pPr>
        <w:pStyle w:val="ListParagraph"/>
        <w:numPr>
          <w:ilvl w:val="0"/>
          <w:numId w:val="1"/>
        </w:numPr>
      </w:pPr>
      <w:r>
        <w:t>Other Old Business</w:t>
      </w:r>
    </w:p>
    <w:p w:rsidR="008F720F" w:rsidRPr="008F720F" w:rsidRDefault="008F720F" w:rsidP="008F720F">
      <w:pPr>
        <w:pStyle w:val="ListParagraph"/>
        <w:numPr>
          <w:ilvl w:val="0"/>
          <w:numId w:val="1"/>
        </w:numPr>
      </w:pPr>
      <w:r>
        <w:t>New Business</w:t>
      </w:r>
    </w:p>
    <w:p w:rsidR="008F720F" w:rsidRDefault="008F720F" w:rsidP="008F720F">
      <w:pPr>
        <w:pStyle w:val="ListParagraph"/>
        <w:numPr>
          <w:ilvl w:val="0"/>
          <w:numId w:val="1"/>
        </w:numPr>
      </w:pPr>
      <w:r w:rsidRPr="008F720F">
        <w:t>Adjourn</w:t>
      </w:r>
    </w:p>
    <w:p w:rsidR="008F720F" w:rsidRPr="008F720F" w:rsidRDefault="008F720F">
      <w:pPr>
        <w:rPr>
          <w:b/>
        </w:rPr>
      </w:pPr>
      <w:r w:rsidRPr="008F720F">
        <w:rPr>
          <w:b/>
        </w:rPr>
        <w:t xml:space="preserve">Fall 2010 </w:t>
      </w:r>
      <w:r w:rsidR="008A26EF" w:rsidRPr="008F720F">
        <w:rPr>
          <w:b/>
        </w:rPr>
        <w:t>Minutes</w:t>
      </w:r>
      <w:r w:rsidRPr="008F720F">
        <w:rPr>
          <w:b/>
        </w:rPr>
        <w:t xml:space="preserve"> </w:t>
      </w:r>
    </w:p>
    <w:p w:rsidR="008F720F" w:rsidRPr="00824E93" w:rsidRDefault="008F720F" w:rsidP="008F720F">
      <w:pPr>
        <w:pStyle w:val="ListParagraph"/>
        <w:ind w:left="0"/>
        <w:rPr>
          <w:b/>
        </w:rPr>
      </w:pPr>
      <w:r>
        <w:t xml:space="preserve">Peter </w:t>
      </w:r>
      <w:proofErr w:type="spellStart"/>
      <w:r>
        <w:t>Sukanek</w:t>
      </w:r>
      <w:proofErr w:type="spellEnd"/>
      <w:r>
        <w:t xml:space="preserve"> moved to accept the minutes</w:t>
      </w:r>
      <w:r>
        <w:t xml:space="preserve">, Pete Schultz </w:t>
      </w:r>
      <w:r>
        <w:t>seconded</w:t>
      </w:r>
      <w:r>
        <w:t xml:space="preserve"> the motion</w:t>
      </w:r>
      <w:r>
        <w:t>. All in favor</w:t>
      </w:r>
    </w:p>
    <w:p w:rsidR="008A26EF" w:rsidRDefault="008F720F">
      <w:pPr>
        <w:rPr>
          <w:b/>
        </w:rPr>
      </w:pPr>
      <w:r>
        <w:rPr>
          <w:b/>
        </w:rPr>
        <w:t>Treasurers Report</w:t>
      </w:r>
    </w:p>
    <w:p w:rsidR="008F720F" w:rsidRPr="008F720F" w:rsidRDefault="008F720F" w:rsidP="00FC3292">
      <w:proofErr w:type="spellStart"/>
      <w:r w:rsidRPr="008F720F">
        <w:t>Majid</w:t>
      </w:r>
      <w:proofErr w:type="spellEnd"/>
      <w:r w:rsidRPr="008F720F">
        <w:t xml:space="preserve"> </w:t>
      </w:r>
      <w:proofErr w:type="spellStart"/>
      <w:r w:rsidRPr="008F720F">
        <w:t>Jaraiedi</w:t>
      </w:r>
      <w:proofErr w:type="spellEnd"/>
      <w:r w:rsidR="00FC3292">
        <w:t xml:space="preserve"> gave an update on the 2011 dues</w:t>
      </w:r>
    </w:p>
    <w:p w:rsidR="008A26EF" w:rsidRDefault="008A26EF" w:rsidP="00FC3292">
      <w:pPr>
        <w:pStyle w:val="ListParagraph"/>
        <w:numPr>
          <w:ilvl w:val="0"/>
          <w:numId w:val="2"/>
        </w:numPr>
      </w:pPr>
      <w:r>
        <w:t>As of February 28,</w:t>
      </w:r>
      <w:r w:rsidR="00FC3292">
        <w:t xml:space="preserve"> </w:t>
      </w:r>
      <w:r>
        <w:t>2011 32 states have paid the dues</w:t>
      </w:r>
    </w:p>
    <w:p w:rsidR="008A26EF" w:rsidRDefault="008A26EF" w:rsidP="00FC3292">
      <w:pPr>
        <w:pStyle w:val="ListParagraph"/>
        <w:numPr>
          <w:ilvl w:val="0"/>
          <w:numId w:val="2"/>
        </w:numPr>
      </w:pPr>
      <w:r>
        <w:t>2010 collected due $223</w:t>
      </w:r>
      <w:r w:rsidR="00B64D95">
        <w:t>,801</w:t>
      </w:r>
    </w:p>
    <w:p w:rsidR="00B64D95" w:rsidRDefault="00B64D95" w:rsidP="00FC3292">
      <w:pPr>
        <w:pStyle w:val="ListParagraph"/>
        <w:numPr>
          <w:ilvl w:val="0"/>
          <w:numId w:val="2"/>
        </w:numPr>
      </w:pPr>
      <w:r>
        <w:t>Collection Rate 95%</w:t>
      </w:r>
    </w:p>
    <w:p w:rsidR="00B64D95" w:rsidRDefault="00B64D95" w:rsidP="00FC3292">
      <w:pPr>
        <w:pStyle w:val="ListParagraph"/>
        <w:numPr>
          <w:ilvl w:val="0"/>
          <w:numId w:val="2"/>
        </w:numPr>
      </w:pPr>
      <w:r>
        <w:t>Balance in check account $ 187,0000</w:t>
      </w:r>
    </w:p>
    <w:p w:rsidR="00B64D95" w:rsidRDefault="00FC3292">
      <w:r>
        <w:t xml:space="preserve">Mike </w:t>
      </w:r>
      <w:r w:rsidR="00E61CFB">
        <w:t>Wiskerchen</w:t>
      </w:r>
      <w:bookmarkStart w:id="0" w:name="_GoBack"/>
      <w:bookmarkEnd w:id="0"/>
      <w:r>
        <w:t xml:space="preserve"> moved to accept the </w:t>
      </w:r>
      <w:r w:rsidR="00B64D95">
        <w:t>Treasurer</w:t>
      </w:r>
      <w:r>
        <w:t xml:space="preserve">’s report.  Motion was </w:t>
      </w:r>
      <w:r w:rsidR="00B64D95">
        <w:t>seconded by Wally Fowler</w:t>
      </w:r>
      <w:r>
        <w:t>. All in favor</w:t>
      </w:r>
    </w:p>
    <w:p w:rsidR="00B64D95" w:rsidRPr="00FC3292" w:rsidRDefault="00FC3292">
      <w:pPr>
        <w:rPr>
          <w:b/>
        </w:rPr>
      </w:pPr>
      <w:r w:rsidRPr="00FC3292">
        <w:rPr>
          <w:b/>
        </w:rPr>
        <w:t xml:space="preserve">Chairs Report </w:t>
      </w:r>
      <w:r>
        <w:rPr>
          <w:b/>
        </w:rPr>
        <w:t>by John Gregory</w:t>
      </w:r>
    </w:p>
    <w:p w:rsidR="00B64D95" w:rsidRDefault="00B64D95" w:rsidP="00FC3292">
      <w:pPr>
        <w:pStyle w:val="ListParagraph"/>
        <w:numPr>
          <w:ilvl w:val="0"/>
          <w:numId w:val="3"/>
        </w:numPr>
      </w:pPr>
      <w:r>
        <w:t>Alliance Board of Directors (list)</w:t>
      </w:r>
    </w:p>
    <w:p w:rsidR="00B64D95" w:rsidRDefault="00B64D95" w:rsidP="00FC3292">
      <w:pPr>
        <w:pStyle w:val="ListParagraph"/>
        <w:numPr>
          <w:ilvl w:val="0"/>
          <w:numId w:val="3"/>
        </w:numPr>
      </w:pPr>
      <w:r>
        <w:t>Alliance Organization</w:t>
      </w:r>
      <w:r w:rsidR="00635999">
        <w:t>al</w:t>
      </w:r>
      <w:r>
        <w:t xml:space="preserve"> Purpose</w:t>
      </w:r>
    </w:p>
    <w:p w:rsidR="00B64D95" w:rsidRDefault="00B64D95" w:rsidP="00FC3292">
      <w:pPr>
        <w:pStyle w:val="ListParagraph"/>
        <w:numPr>
          <w:ilvl w:val="0"/>
          <w:numId w:val="3"/>
        </w:numPr>
      </w:pPr>
      <w:r>
        <w:t>FY 11/12 Budget picture</w:t>
      </w:r>
    </w:p>
    <w:p w:rsidR="00B64D95" w:rsidRDefault="00B64D95" w:rsidP="00FC3292">
      <w:pPr>
        <w:pStyle w:val="ListParagraph"/>
        <w:numPr>
          <w:ilvl w:val="0"/>
          <w:numId w:val="3"/>
        </w:numPr>
      </w:pPr>
      <w:r>
        <w:t>In FY 2011 Funded in CR (Expires 3/4/11) $45.6 M</w:t>
      </w:r>
    </w:p>
    <w:p w:rsidR="00000000" w:rsidRPr="00FC3292" w:rsidRDefault="00B64D95" w:rsidP="00FC3292">
      <w:pPr>
        <w:pStyle w:val="ListParagraph"/>
        <w:numPr>
          <w:ilvl w:val="0"/>
          <w:numId w:val="3"/>
        </w:numPr>
      </w:pPr>
      <w:r>
        <w:t>Talked about building advoca</w:t>
      </w:r>
      <w:r w:rsidR="00635999">
        <w:t>cy</w:t>
      </w:r>
      <w:r>
        <w:t xml:space="preserve"> with your congressional delegation locally</w:t>
      </w:r>
      <w:r w:rsidR="00FC3292">
        <w:t xml:space="preserve"> through f</w:t>
      </w:r>
      <w:r w:rsidR="00E61CFB" w:rsidRPr="00FC3292">
        <w:t>requent communications with legislative offices – newsletters, press releases, good news, impact data, etc.</w:t>
      </w:r>
      <w:r w:rsidR="00FC3292">
        <w:t xml:space="preserve">; by inviting </w:t>
      </w:r>
      <w:r w:rsidR="00E61CFB" w:rsidRPr="00FC3292">
        <w:t xml:space="preserve">legislators and staffers to your key events; </w:t>
      </w:r>
      <w:r w:rsidR="00FC3292">
        <w:t>and by p</w:t>
      </w:r>
      <w:r w:rsidR="00E61CFB" w:rsidRPr="00FC3292">
        <w:t>ersonal visits in their distr</w:t>
      </w:r>
      <w:r w:rsidR="00E61CFB" w:rsidRPr="00FC3292">
        <w:t>ict, when possible.</w:t>
      </w:r>
    </w:p>
    <w:p w:rsidR="00B64D95" w:rsidRDefault="00B64D95" w:rsidP="00FC3292">
      <w:pPr>
        <w:ind w:left="360"/>
      </w:pPr>
    </w:p>
    <w:p w:rsidR="00635999" w:rsidRPr="00FC3292" w:rsidRDefault="00FC3292">
      <w:pPr>
        <w:rPr>
          <w:b/>
        </w:rPr>
      </w:pPr>
      <w:r>
        <w:rPr>
          <w:b/>
        </w:rPr>
        <w:lastRenderedPageBreak/>
        <w:t>Briefing by V</w:t>
      </w:r>
      <w:r w:rsidR="00635999" w:rsidRPr="00FC3292">
        <w:rPr>
          <w:b/>
        </w:rPr>
        <w:t>SA and TIG – Carolyn</w:t>
      </w:r>
      <w:r>
        <w:rPr>
          <w:b/>
        </w:rPr>
        <w:t xml:space="preserve"> </w:t>
      </w:r>
      <w:proofErr w:type="gramStart"/>
      <w:r>
        <w:rPr>
          <w:b/>
        </w:rPr>
        <w:t xml:space="preserve">Fuller </w:t>
      </w:r>
      <w:r w:rsidR="00635999" w:rsidRPr="00FC3292">
        <w:rPr>
          <w:b/>
        </w:rPr>
        <w:t xml:space="preserve"> and</w:t>
      </w:r>
      <w:proofErr w:type="gramEnd"/>
      <w:r w:rsidR="00635999" w:rsidRPr="00FC3292">
        <w:rPr>
          <w:b/>
        </w:rPr>
        <w:t xml:space="preserve"> Joe</w:t>
      </w:r>
      <w:r>
        <w:rPr>
          <w:b/>
        </w:rPr>
        <w:t xml:space="preserve"> Danek</w:t>
      </w:r>
    </w:p>
    <w:p w:rsidR="00635999" w:rsidRDefault="00635999" w:rsidP="00FC3292">
      <w:pPr>
        <w:pStyle w:val="ListParagraph"/>
        <w:numPr>
          <w:ilvl w:val="0"/>
          <w:numId w:val="5"/>
        </w:numPr>
      </w:pPr>
      <w:r>
        <w:t>Talked about composition of  Congress including house control</w:t>
      </w:r>
    </w:p>
    <w:p w:rsidR="00635999" w:rsidRDefault="00FC3292" w:rsidP="00FC3292">
      <w:pPr>
        <w:pStyle w:val="ListParagraph"/>
        <w:numPr>
          <w:ilvl w:val="0"/>
          <w:numId w:val="5"/>
        </w:numPr>
      </w:pPr>
      <w:r>
        <w:t>Uncertainty</w:t>
      </w:r>
    </w:p>
    <w:p w:rsidR="00635999" w:rsidRDefault="00635999" w:rsidP="00FC3292">
      <w:pPr>
        <w:pStyle w:val="ListParagraph"/>
        <w:numPr>
          <w:ilvl w:val="0"/>
          <w:numId w:val="5"/>
        </w:numPr>
      </w:pPr>
      <w:r>
        <w:t xml:space="preserve">Historic wins for Republicans in the house </w:t>
      </w:r>
    </w:p>
    <w:p w:rsidR="00635999" w:rsidRDefault="00635999" w:rsidP="00FC3292">
      <w:pPr>
        <w:pStyle w:val="ListParagraph"/>
        <w:numPr>
          <w:ilvl w:val="0"/>
          <w:numId w:val="5"/>
        </w:numPr>
      </w:pPr>
      <w:r>
        <w:t>Strong Republican gains in the Senate</w:t>
      </w:r>
    </w:p>
    <w:p w:rsidR="00635999" w:rsidRDefault="00635999" w:rsidP="00FC3292">
      <w:pPr>
        <w:pStyle w:val="ListParagraph"/>
        <w:numPr>
          <w:ilvl w:val="0"/>
          <w:numId w:val="5"/>
        </w:numPr>
      </w:pPr>
      <w:r>
        <w:t>84 New Republican members</w:t>
      </w:r>
      <w:r w:rsidR="00FC3292">
        <w:t xml:space="preserve">, </w:t>
      </w:r>
      <w:r>
        <w:t>9 new Democratic members</w:t>
      </w:r>
    </w:p>
    <w:p w:rsidR="00635999" w:rsidRDefault="00635999" w:rsidP="00FC3292">
      <w:pPr>
        <w:pStyle w:val="ListParagraph"/>
        <w:numPr>
          <w:ilvl w:val="0"/>
          <w:numId w:val="5"/>
        </w:numPr>
      </w:pPr>
      <w:r>
        <w:t>Spending reduction plan by Republicans which was a return to 2008 funding level</w:t>
      </w:r>
    </w:p>
    <w:p w:rsidR="00635999" w:rsidRDefault="00635999" w:rsidP="00FC3292">
      <w:pPr>
        <w:pStyle w:val="ListParagraph"/>
        <w:numPr>
          <w:ilvl w:val="0"/>
          <w:numId w:val="5"/>
        </w:numPr>
      </w:pPr>
      <w:r w:rsidRPr="00FC3292">
        <w:t>Fiscal year 2011 status</w:t>
      </w:r>
      <w:r w:rsidR="00FC3292">
        <w:t>; Continuing Resolution (CR) through March 4, 2011</w:t>
      </w:r>
    </w:p>
    <w:p w:rsidR="00FC3292" w:rsidRPr="00FC3292" w:rsidRDefault="00FC3292" w:rsidP="00FC3292">
      <w:pPr>
        <w:pStyle w:val="ListParagraph"/>
        <w:numPr>
          <w:ilvl w:val="0"/>
          <w:numId w:val="5"/>
        </w:numPr>
      </w:pPr>
      <w:r>
        <w:t>NASA 21012 budget and the Education budget</w:t>
      </w:r>
    </w:p>
    <w:p w:rsidR="00635999" w:rsidRDefault="00635999" w:rsidP="00FC3292">
      <w:pPr>
        <w:pStyle w:val="ListParagraph"/>
        <w:numPr>
          <w:ilvl w:val="0"/>
          <w:numId w:val="5"/>
        </w:numPr>
      </w:pPr>
      <w:r>
        <w:t>NASA proposing to change budget structure</w:t>
      </w:r>
    </w:p>
    <w:p w:rsidR="00635999" w:rsidRDefault="00635999">
      <w:r>
        <w:t xml:space="preserve">John Gregory listed 6 things to consider for the Hill visit </w:t>
      </w:r>
    </w:p>
    <w:p w:rsidR="00000000" w:rsidRPr="00750945" w:rsidRDefault="00750945" w:rsidP="00750945">
      <w:pPr>
        <w:numPr>
          <w:ilvl w:val="0"/>
          <w:numId w:val="7"/>
        </w:numPr>
        <w:spacing w:after="0" w:line="240" w:lineRule="auto"/>
      </w:pPr>
      <w:r w:rsidRPr="00750945">
        <w:t>Thank your Reps for their consistent support over the years. History: Each year NASA lowballs SG, and Congress increases the level. (For EPSCOR states, the same applies).</w:t>
      </w:r>
    </w:p>
    <w:p w:rsidR="00000000" w:rsidRPr="00750945" w:rsidRDefault="00750945" w:rsidP="00750945">
      <w:pPr>
        <w:numPr>
          <w:ilvl w:val="0"/>
          <w:numId w:val="7"/>
        </w:numPr>
        <w:spacing w:after="0" w:line="240" w:lineRule="auto"/>
      </w:pPr>
      <w:r w:rsidRPr="00750945">
        <w:t>What is Space Grant? Use the NSGA Fact Sheet to make some key points. Emphasize innovative STEM education and workforce development needs to maintain US technology leadership in a competitive world. Mention 1:1 matching using State resources. New members need to understand the program.</w:t>
      </w:r>
    </w:p>
    <w:p w:rsidR="00000000" w:rsidRDefault="00750945" w:rsidP="00750945">
      <w:pPr>
        <w:numPr>
          <w:ilvl w:val="0"/>
          <w:numId w:val="7"/>
        </w:numPr>
        <w:spacing w:after="0" w:line="240" w:lineRule="auto"/>
      </w:pPr>
      <w:r w:rsidRPr="00750945">
        <w:t xml:space="preserve">Show them what you do in your State (and in their districts) with the money. Show specific programs, colleges, high schools to give local color. </w:t>
      </w:r>
    </w:p>
    <w:p w:rsidR="00000000" w:rsidRPr="00750945" w:rsidRDefault="00750945" w:rsidP="00750945">
      <w:pPr>
        <w:numPr>
          <w:ilvl w:val="0"/>
          <w:numId w:val="7"/>
        </w:numPr>
        <w:spacing w:after="0" w:line="240" w:lineRule="auto"/>
      </w:pPr>
      <w:r w:rsidRPr="00750945">
        <w:t>What are the risks to this program in the current fiscal environment?  Facts are: Congress appropriated $45.6M for SG in FY 2010; Congress authorized $45.6M for FY 2011 and 2012 for SG. However, if Appropriations bills do not have a line item for SG, NASA may revert to their own requested level of $28M (2011) and $26.7M (2012). This is a reduction of over 40%.</w:t>
      </w:r>
    </w:p>
    <w:p w:rsidR="00000000" w:rsidRPr="00750945" w:rsidRDefault="00750945" w:rsidP="00750945">
      <w:pPr>
        <w:numPr>
          <w:ilvl w:val="0"/>
          <w:numId w:val="7"/>
        </w:numPr>
        <w:spacing w:after="0" w:line="240" w:lineRule="auto"/>
      </w:pPr>
      <w:r w:rsidRPr="00750945">
        <w:t>What would this mean? Student programs and student numbers would be cut proportionately. Cuts would be magnified by the 1:1 matching funds also lost to the program.</w:t>
      </w:r>
    </w:p>
    <w:p w:rsidR="00000000" w:rsidRPr="00750945" w:rsidRDefault="00750945" w:rsidP="00750945">
      <w:pPr>
        <w:numPr>
          <w:ilvl w:val="0"/>
          <w:numId w:val="7"/>
        </w:numPr>
        <w:spacing w:after="0" w:line="240" w:lineRule="auto"/>
      </w:pPr>
      <w:r w:rsidRPr="00750945">
        <w:t xml:space="preserve">What are we asking? That we be left at the 2010 enacted levels as also authorized. That specific language </w:t>
      </w:r>
      <w:proofErr w:type="gramStart"/>
      <w:r w:rsidRPr="00750945">
        <w:t>be</w:t>
      </w:r>
      <w:proofErr w:type="gramEnd"/>
      <w:r w:rsidRPr="00750945">
        <w:t xml:space="preserve"> included in the Bill, directing NASA to fund SG at these levels.</w:t>
      </w:r>
    </w:p>
    <w:p w:rsidR="00750945" w:rsidRPr="00750945" w:rsidRDefault="00750945" w:rsidP="00750945">
      <w:pPr>
        <w:spacing w:after="0" w:line="240" w:lineRule="auto"/>
        <w:ind w:left="720"/>
      </w:pPr>
    </w:p>
    <w:p w:rsidR="00750945" w:rsidRDefault="00750945"/>
    <w:p w:rsidR="00635999" w:rsidRDefault="00750945">
      <w:r>
        <w:t>Meeting adjourned at 8:50 A</w:t>
      </w:r>
      <w:r w:rsidR="00635999">
        <w:t>M</w:t>
      </w:r>
    </w:p>
    <w:p w:rsidR="005B1263" w:rsidRDefault="005B1263">
      <w:r>
        <w:t>Respectfully submitted,</w:t>
      </w:r>
    </w:p>
    <w:p w:rsidR="005B1263" w:rsidRDefault="005B1263">
      <w:r>
        <w:t>Jaydeep Mukherjee</w:t>
      </w:r>
    </w:p>
    <w:p w:rsidR="00635999" w:rsidRDefault="00635999"/>
    <w:p w:rsidR="00B64D95" w:rsidRDefault="00B64D95"/>
    <w:sectPr w:rsidR="00B64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A9C"/>
    <w:multiLevelType w:val="hybridMultilevel"/>
    <w:tmpl w:val="84F2BD56"/>
    <w:lvl w:ilvl="0" w:tplc="31C80B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895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EB8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E82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A22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EB5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86D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3A8C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AFF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D36DF"/>
    <w:multiLevelType w:val="hybridMultilevel"/>
    <w:tmpl w:val="A8F2E0DE"/>
    <w:lvl w:ilvl="0" w:tplc="29E6EA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63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8ED0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231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0A1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568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A0D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2858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08BD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BE6163"/>
    <w:multiLevelType w:val="hybridMultilevel"/>
    <w:tmpl w:val="C132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4684F"/>
    <w:multiLevelType w:val="hybridMultilevel"/>
    <w:tmpl w:val="F976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00A7D"/>
    <w:multiLevelType w:val="hybridMultilevel"/>
    <w:tmpl w:val="FCBA2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895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EB8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E82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A22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EB5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86D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3A8C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AFF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530C2"/>
    <w:multiLevelType w:val="hybridMultilevel"/>
    <w:tmpl w:val="717645A2"/>
    <w:lvl w:ilvl="0" w:tplc="D2F21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841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AA2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80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0A9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F22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5EF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4B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321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426795C"/>
    <w:multiLevelType w:val="hybridMultilevel"/>
    <w:tmpl w:val="1528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7439A"/>
    <w:multiLevelType w:val="hybridMultilevel"/>
    <w:tmpl w:val="B140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54"/>
    <w:rsid w:val="005B1263"/>
    <w:rsid w:val="00635999"/>
    <w:rsid w:val="00743D54"/>
    <w:rsid w:val="00750945"/>
    <w:rsid w:val="008A26EF"/>
    <w:rsid w:val="008C30ED"/>
    <w:rsid w:val="008F720F"/>
    <w:rsid w:val="00B64D95"/>
    <w:rsid w:val="00E61CFB"/>
    <w:rsid w:val="00F12BF1"/>
    <w:rsid w:val="00F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5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3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jaydeep mukherjee</cp:lastModifiedBy>
  <cp:revision>5</cp:revision>
  <dcterms:created xsi:type="dcterms:W3CDTF">2011-09-15T16:43:00Z</dcterms:created>
  <dcterms:modified xsi:type="dcterms:W3CDTF">2011-09-15T16:49:00Z</dcterms:modified>
</cp:coreProperties>
</file>